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poctivého nálezce se vyklubal zloděj. Ponechání nalezené věci může být trestný čin</w:t>
      </w:r>
    </w:p>
    <w:p>
      <w:pPr/>
      <w:r>
        <w:rPr/>
        <w:t xml:space="preserve">Následující případ může sloužit jako výstraha, jak snadno se můžete dostat do problémů, pokud nectíte vlastnické právo. Každá i ztracená věc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95/z-poctiveho-nalezce-se-vyklubal-zlodej-ponechani-nalezene-veci-muze-byt-trest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