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 zásadní investici roku 2023 rozhodne v únoru</w:t>
      </w:r>
    </w:p>
    <w:p>
      <w:pPr/>
      <w:r>
        <w:rPr/>
        <w:t xml:space="preserve">Zastupitelstvo Studénky na své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Ve schváleném rozpočtu má Studénka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Zvýšené ceny energií budou stát město v příštím roce zhruba 10 milionů korun navíc. Omezovat tu chod třeba  sportovního centra ale nebudou. Prioritou je spořit energie provozně, rozumným šetřením a úsporným osvětlením.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813/studenka-o-zasadni-investici-roku-2023-rozhodne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2026-05-03T07:15:45+02:00</dcterms:created>
  <dcterms:modified xsi:type="dcterms:W3CDTF">2026-05-03T07:15:45+02:00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