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16.12.2022, 21:38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Moravské Ostravě a Přívozu díky revitalizaci bytového fondu ubývá neobsazených bytů</w:t>
      </w:r>
    </w:p>
    <w:p>
      <w:pPr/>
      <w:r>
        <w:rPr>
          <w:b w:val="1"/>
          <w:bCs w:val="1"/>
        </w:rPr>
        <w:t xml:space="preserve">David Witosz (Piráti), místostarosta MOb Moravská Ostrava a Přívoz: </w:t>
      </w:r>
      <w:r>
        <w:rPr/>
        <w:t xml:space="preserve">“Díky tomu máme také více obsazených ploch a také mnohem větší příjmy z nájmů, které jsou ale pořád na dvou třetinách tržního.”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4869/v-moravske-ostrave-a-privozu-diky-revitalizaci-bytoveho-fondu-ubyva-neobsazenych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2026-08-29T08:49:40+02:00</dcterms:created>
  <dcterms:modified xsi:type="dcterms:W3CDTF">2026-08-29T08:49:40+02:00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