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sloučila některé mateřské školy se základními školami</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 </w:t>
      </w:r>
    </w:p>
    <w:p>
      <w:pPr/>
      <w:r>
        <w:rPr/>
        <w:t xml:space="preserve">Radnice nevylučuje, že do budoucna dojde k dalším sloučením mateřinek se základními školami. Tento systém už funguje například v sousední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060/radnice-v-havirove-sloucila-nektere-materske-skoly-se-zakladnimi-skol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2026-07-09T09:19:31+02:00</dcterms:created>
  <dcterms:modified xsi:type="dcterms:W3CDTF">2026-07-09T09:19:31+02:00</dcterms:modified>
</cp:coreProperties>
</file>

<file path=docProps/custom.xml><?xml version="1.0" encoding="utf-8"?>
<Properties xmlns="http://schemas.openxmlformats.org/officeDocument/2006/custom-properties" xmlns:vt="http://schemas.openxmlformats.org/officeDocument/2006/docPropsVTypes"/>
</file>