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3.1.2023,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Koncertu školy v kostele sv. Jana Nepomuckého dominoval trojhlasý kánon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“Každý rok se snažíme přijít s něčím novým, i když je to pořád totéž téma. Hledá se těžko, ale vždycky se nabídne nějaká možnost. Letos jsem poprvé zcela náhodou zaslechla v televizi melodii, která mne uchvátila, takže jsme ji pořád poslouchala. Zjistili jsme, že se jedná o skladbu Dona nobis pacem, a zazní snad vůbec poprvé v podobě kánonu trojhlas, tak snad se nám podaří.”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“Zpívají žáci, zpívá maličký sbor školy, zpívají  hosté, zpívají i zaměstnanci a samozřejmě do toho všeho znají i básničky.” </w:t>
      </w:r>
    </w:p>
    <w:p>
      <w:pPr/>
      <w:r>
        <w:rPr/>
        <w:t xml:space="preserve">S dětmi si tak v kostele zpívala i ředitelka školy nebo vedoucí školní jídelny. Hosty večerního programu byli hudební trio Acoustic Flowers a hráčka na příčnou flétnu Anežka Dudková.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5077/koncertu-skoly-v-kostele-sv-jana-nepomuckeho-dominoval-trojhlasy-kan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2026-08-06T05:53:04+02:00</dcterms:created>
  <dcterms:modified xsi:type="dcterms:W3CDTF">2026-08-06T05:53:04+02:00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