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má 9 nových šroubovic, rozšíří i Technotrasu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odbor školství a kultury, Frýdlant nad Ostravicí: </w:t>
      </w:r>
      <w:r>
        <w:rPr>
          <w:i w:val="1"/>
          <w:iCs w:val="1"/>
        </w:rPr>
        <w:t xml:space="preserve">"Galerie obsahuje devět šroubovic, znázorňující čtvero ročních období. Začínáme jarem a pokračujeme až k zimě. Šroubovice navrhl pasíř pan Strakoš, smaltované dílce do šroubovic dělala místní dílna uměleckého smaltu a naši místní umělci."</w:t>
      </w:r>
    </w:p>
    <w:p>
      <w:pPr/>
      <w:r>
        <w:rPr/>
        <w:t xml:space="preserve">Plastika je tvořena smaltovanými dílci, které dotvářejí krásné umělecké dílo, připomínající historii města Frýdlant nad Ostravicí, která je neodmyslitelně spjata s litinou a smaltérstvím. Plastiky jsou osazeny osvětlovacím tělesem. 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odbor školství a kultury, Frýdlant nad Ostravicí: </w:t>
      </w:r>
      <w:r>
        <w:rPr>
          <w:i w:val="1"/>
          <w:iCs w:val="1"/>
        </w:rPr>
        <w:t xml:space="preserve">"Projekt byl podpořen z výzvy </w:t>
      </w:r>
      <w:r>
        <w:rPr>
          <w:i w:val="1"/>
          <w:iCs w:val="1"/>
        </w:rPr>
        <w:t xml:space="preserve">Interreg V-A Česká republika – Polsko a partnerem projektu byla obec Wilamovice."</w:t>
      </w:r>
    </w:p>
    <w:p>
      <w:pPr/>
      <w:r>
        <w:rPr/>
        <w:t xml:space="preserve">Partner v rámci tohoto společného projektu opravoval malé sakrální stavby podél cest. Z tohoto projektu vznikla i publikace mapující frýdlantskou litinu a smalt nacházející se ve městě a vytvořené šroubovice také rozšíří zastavení na Technotrase - Po stopách Frýdlantské litiny a smaltu, která přibližuje historii litiny a smaltu ve městě Frýdlant nad Ostravicí.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5373/frydlant-nad-ostravici-ma-9-novych-sroubovic-rozsiri-i-technotr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2026-05-12T20:59:10+02:00</dcterms:created>
  <dcterms:modified xsi:type="dcterms:W3CDTF">2026-05-12T20:59:10+02:00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