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vaří polévky pro potřebné už deset let, rozdává lidem také potravinové tašky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54/adra-v-havirove-vari-polevky-pro-potrebne-uz-deset-let-rozdava-lidem-take-potravinove-t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