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expozice Památníku II. světové války v Hrabyni vrcholí. Otevřeno bude 29. dubna</w:t>
      </w:r>
    </w:p>
    <w:p>
      <w:pPr/>
      <w:r>
        <w:rPr/>
        <w:t xml:space="preserve">Památník  II. světové války v Hrabyni připomíná ofenzívu Rudé armády a  jednotek 1. československého armádního sboru  na jaře roku 1945  a jejich průnik na sever Moravy. Přestože venkovní pohled na něj  zůstává stejný, expozice uvnitř právě mění svou tvář. </w:t>
      </w:r>
    </w:p>
    <w:p>
      <w:pPr/>
      <w:r>
        <w:rPr/>
        <w:t xml:space="preserve">{{souvisejici-clanek-"11000028910"}}</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071/rekonstrukce-expozice-pamatniku-ii-svetove-valky-v-hrabyni-vrcholi-otevreno-bude-29-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2026-05-21T12:43:48+02:00</dcterms:created>
  <dcterms:modified xsi:type="dcterms:W3CDTF">2026-05-21T12:43:48+02:00</dcterms:modified>
</cp:coreProperties>
</file>

<file path=docProps/custom.xml><?xml version="1.0" encoding="utf-8"?>
<Properties xmlns="http://schemas.openxmlformats.org/officeDocument/2006/custom-properties" xmlns:vt="http://schemas.openxmlformats.org/officeDocument/2006/docPropsVTypes"/>
</file>