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aktivní trávení volného času dětí. Přispívá na tábory i další aktivity</w:t>
      </w:r>
    </w:p>
    <w:p>
      <w:pPr/>
      <w:r>
        <w:rPr/>
        <w:t xml:space="preserve">42. přední hlídka Royal Rangers Ostrava funguje už od roku 2007. Jejímy členy je 25 dětí a 10 vedoucích, kteří se celý rok scházejí na pravidelných schůzkách, kde sportují, hrají hry, pořádají výlety, výpravy a vrcholem jsou samozřejmě letní tábory. Tam je dětí ještě mnohem více. Dotace MS kraje je pro oddíl velkou pomocí.</w:t>
      </w:r>
    </w:p>
    <w:p>
      <w:pPr/>
      <w:r>
        <w:rPr>
          <w:b w:val="1"/>
          <w:bCs w:val="1"/>
        </w:rPr>
        <w:t xml:space="preserve">Marek Bužga, velitel přední hlídky Royal Rangers: </w:t>
      </w:r>
      <w:r>
        <w:rPr/>
        <w:t xml:space="preserve">"My si podpory MS kraje velmi vážíme, protože nás podpoří jak v celoroční činnosti, tak v činnostech, které jsou přes léto, jako jsou tábory.  Proto jsme letos schopni uspořádat více táborů. Jeden z nich bude třeba vodácký a díky této podpoře si budeme moci pronajmout lodě." </w:t>
      </w:r>
    </w:p>
    <w:p>
      <w:pPr/>
      <w:r>
        <w:rPr/>
        <w:t xml:space="preserve">Krajští zastupitelé schválili podporu celkem 43 neziskových organizací, které se  dlouhodobě věnují práci s dětmi a mládeží do 26 let.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"Podpořeny byl hlavně spolky Junák a turistické oddíly mládeže. Jsme moc rádi, že se ještě najdou lidé, kteří s dětmi a mládeží pracují celoročně a také pořádají táborové pobyty, protože smysluplné využité volného času je v této kategorii velmi důležité" </w:t>
      </w:r>
    </w:p>
    <w:p>
      <w:pPr/>
      <w:r>
        <w:rPr/>
        <w:t xml:space="preserve">Kraj neziskovkám přispěl celkem 2  miliony korun na pravidelnou celoroční činnost. Milion korun rozdělil na prázdninové pobyty  pro děti a mládež. Každá nezisková organizace mohlo žádat až o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83/ms-kraj-podporuje-aktivni-traveni-volneho-casu-deti-prispiva-na-tabory-i-dals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2026-05-25T12:35:53+02:00</dcterms:created>
  <dcterms:modified xsi:type="dcterms:W3CDTF">2026-05-25T12:35:53+02:00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