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CT přístroj pro pacienty spádu krnovské nemocnice je rychlejší, kvalitnější a šetrnější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pacienty."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nemocnice."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 </w:t>
      </w:r>
      <w:r>
        <w:rPr/>
        <w:t xml:space="preserve">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 Ne, je to úplně v klidu, v pohodě.“</w:t>
      </w:r>
    </w:p>
    <w:p>
      <w:pPr/>
      <w:r>
        <w:rPr/>
        <w:t xml:space="preserve">V nemocnici dále úspěšně pokračuje rekonstrukce střech a přestavba operačních sálů.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382/novy-ct-pristroj-pro-pacienty-spadu-krnovske-nemocnice-je-rychlejsi-kvalit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