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kraji se daří využívat přes 90 procent z evropských peněz</w:t>
      </w:r>
    </w:p>
    <w:p>
      <w:pPr/>
      <w:r>
        <w:rPr/>
        <w:t xml:space="preserve">V objemu čerpaných prostředků zaujímá náš kraj druhou  příčku za Středočeským krajem.</w:t>
      </w:r>
    </w:p>
    <w:p>
      <w:pPr/>
      <w:r>
        <w:rPr>
          <w:b w:val="1"/>
          <w:bCs w:val="1"/>
        </w:rPr>
        <w:t xml:space="preserve">Petr Ksenič, odbor evropských projektů, KÚ MSK:</w:t>
      </w:r>
      <w:r>
        <w:rPr/>
        <w:t xml:space="preserve"> „Jsme  velmi úspěšní, což je dáno několika faktory. Některé výzvy jsou cílené přímo na  kraje, u dalších jsme dobře připraveni. Máme i partnery, kteří nám pomáhají se  zpracováním žádostí tak, aby ta úroveň byla co nejvyšší. Troufám si říct, že 90  až 95 procent našich projektů prochází úspěšně.“</w:t>
      </w:r>
    </w:p>
    <w:p>
      <w:pPr/>
      <w:r>
        <w:rPr/>
        <w:t xml:space="preserve">Dalších téměř 19 miliard korun přiteče do MS kraje z Fondu  spravedlivé transformace.</w:t>
      </w:r>
    </w:p>
    <w:p>
      <w:pPr/>
      <w:r>
        <w:rPr>
          <w:b w:val="1"/>
          <w:bCs w:val="1"/>
        </w:rPr>
        <w:t xml:space="preserve">David Sventek, expert na dotační programy: </w:t>
      </w:r>
      <w:r>
        <w:rPr/>
        <w:t xml:space="preserve">„Dnes máme  podaných 10 strategických projektů ze třinácti, což ve srovnání s Karlovarským  a Ústeckým krajem je hodně. Na tu realizační fázi jsme se hodně těšili, řada  projektů se skutečně kvalitně připravila."</w:t>
      </w:r>
    </w:p>
    <w:p>
      <w:pPr/>
      <w:r>
        <w:rPr/>
        <w:t xml:space="preserve">    Transformaci našeho  kraje podpoří také program IROP 2, ze kterého dostane ČR více než 117 miliard 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296/ms-kraji-se-dari-vyuzivat-pres-90-procent-z-evropskych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2026-06-26T09:03:50+02:00</dcterms:created>
  <dcterms:modified xsi:type="dcterms:W3CDTF">2026-06-26T09:03:50+02:00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