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Pozemky v novojičínské průmyslové zóně získá firma CTP</w:t>
      </w:r>
    </w:p>
    <w:p>
      <w:pPr/>
      <w:r>
        <w:rPr/>
        <w:t xml:space="preserve">Zájem o koupi 130 tisíc metrů čtverečních pozemků v lokalitě plánované průmyslové zóny za ulicí Propojovací měly dvě společnosti, radnice obdržela nabídky firem CTP a Panattoni. Jejich představitelé prezentovali své záměry na seminář zastupitelům, rada města nakonec doporučila společnost CTP, která již v této lokalitě některé své projekty realizovala.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“Obě nabídky byly odlišné v rámci konceptu nabytí vlastnického práva k těm předmětným pozemkům. S oběma společnostmi město jednalo. Obě společnosti několikrát aktualizovaly svou nabídku s tím, že rada města doporučila prodat společnosti CTP, neboť jsem vyhodnotli, že ty podmínky, které nabídla, jsou pro město výhodnější.”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“Tyto obě nabídky byly celkem odlišné, ty odlišnosti spočívaly jak v inflační doložce, tak ve způsobu realizace stavby. Na doporučení rady města 17 zastupitelů hlasovalo pro prodej CTP Parku, s tímto zájemcem tedy budeme ten prodej realizovat.”  </w:t>
      </w:r>
    </w:p>
    <w:p>
      <w:pPr/>
      <w:r>
        <w:rPr/>
        <w:t xml:space="preserve">Prodejní cena je tedy 920 korun za metr čtvereční bez daně, což při výměře daného pozemku znamená částku okolo 122 milionů korun bez daně.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“Třicet procent z kupní ceny by mělo být uhrazeno ihned po podpisu kupní smlouvy, a zbytek v rovnoměrných splátkách v horizontu tří let s tím, že každá splátka bude navýšena o inflaci.”  </w:t>
      </w:r>
    </w:p>
    <w:p>
      <w:pPr/>
      <w:r>
        <w:rPr>
          <w:b w:val="1"/>
          <w:bCs w:val="1"/>
        </w:rPr>
        <w:t xml:space="preserve">Stanislav Kopecký (ANO), starosta Nového Jičína: “</w:t>
      </w:r>
      <w:r>
        <w:rPr/>
        <w:t xml:space="preserve">Musím říct, že inflační doložka, co se týče CTP, tak je nastavena tak, že je daleko výhodnější, od těch sedmi procent té inflace a my předpokládáme, tu inflaci vyšší. Oproti tomu forma Panattoni by byla výhodnější, kdyby inflace byla v průměru kolem tří a půl procenta za rok.”    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“My ten prodej vnímáme jako velmi důležitou investici města, z toho důvodu jsem k tomu přistupovali velmi vážně, dobře jsme si prostudovali všechny podklady. Ono to sice vůbec nekoresponduje s tím, co jsme původně měli v úmyslu s těmito pozemky jako s městskou průmyslovou zónou, ale se všemi těmi problémy, které se s tím vážou, jsme si řekli, že se podíváme na ty zájemce. Nám vycházel lépe ten druhý zájemce, než ten, který to vyhrál, a proto jsme se shodli na tom, že budeme mít volné hlasování a tak jsme se buď zdrželi nebo jsme byli proti prodeji. Vlastně ta naše původní koncepce byla městská průmyslová zóna, výrobní kapacity nebo vývojové středisko a podobně, ať se tady udrží zaměstnanost, protože to se může během několika let změnit a potom bychom mohli litovat toho, že tam máme velké skladiště a minimální počet zaměstnanců.”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“Se společností CTP jsme jednali o způsobu využití té plochy s tím, že je dohodnuto, že minimálně 40 procent plochy bude výroba a vývoj, a maximálně 60 procent logistika. Podařilo se vyjednat i další podmínky. Budovy, které budou stát v průmyslové zóně, budou mít certifikát ekologicky šetrného provozu, jsou tam podmínky využití vody z retenční nádrže ze strany města, zprůjezdnění toho areálu budoucí průmyslové zóny, čili propojení ulic Propojovací a Hřbitovní. Dále je tam řešena výstavba chodníků, komunikace, infrastruktury a vysazení minimálně 50 stromů.” </w:t>
      </w:r>
    </w:p>
    <w:p>
      <w:pPr/>
      <w:r>
        <w:rPr/>
        <w:t xml:space="preserve">Společnost Panattoni nabízela poměr využití opačný, minimálně 60 procent výroba a vývoj.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“Nicméně ta nabídka byla vyhodnocena jako méně atraktivní pro město, neboť operovala s konceptem smlouvy o smlouvě budoucí kupní, to znamená, že by společnost Panattoni si do 30 měsíců nejprve  udělal zjišťovací průzkum této lokality a teprve do 30 měsíců by vlastně uzavřela vlastní kupní smlouvu a teprve uhradila kupní cenu.”            </w:t>
      </w:r>
    </w:p>
    <w:p>
      <w:pPr/>
      <w:r>
        <w:rPr/>
        <w:t xml:space="preserve">Po realizaci tohoto prodeje zůstane v majetku města v lokalitě průmyslové zóny zhruba 10 a půl tisíce metrů čtverečních plochy. Předpokladem je, že ve druhém polovině roku radnice nabídne tyto pozemky k prodeji drobnějším podnikatelům.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715/pozemky-v-novojicinske-prumyslove-zone-ziska-firma-ct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2026-07-02T15:32:43+02:00</dcterms:created>
  <dcterms:modified xsi:type="dcterms:W3CDTF">2026-07-02T15:32:43+02:00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