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21.6.2023,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Moody’s potvrdila Ostravě ratingové ohodnocení. Zůstává Aa3 s negativním výhledem</w:t>
      </w:r>
    </w:p>
    <w:p>
      <w:pPr/>
      <w:r>
        <w:rPr/>
        <w:t xml:space="preserve">Ostrava obhájila ratingové ohodnocení Aa3, což může být v současné situaci celé naší země bráno jako dobrá zpráva. Analýza byla provedena na základě hospodaření města za uplynulý rok renomovanou ratingovou  agenturou Mooddy's. </w:t>
      </w:r>
    </w:p>
    <w:p>
      <w:pPr/>
      <w:r>
        <w:rPr>
          <w:b w:val="1"/>
          <w:bCs w:val="1"/>
        </w:rPr>
        <w:t xml:space="preserve">Lucie Bránková Vilamová,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V aktuálních podmínkách zpomalené národní ekonomiky, značné inflaci i dopadům válečného konfliktu, pokládám obhájení ratingu města Ostravy na stejné úrovni za zvlášť důležité."</w:t>
      </w:r>
    </w:p>
    <w:p>
      <w:pPr/>
      <w:r>
        <w:rPr/>
        <w:t xml:space="preserve">Mezi silné stránky města náleží pokračující trend solidního provozního hospodaření navzdory zpomalení národní  ekonomiky, dostatečná likvidita i přes významné investiční akce plánované v letošním a příštím  roce, stejně jako klesající úroveň zadlužení města v letech 2023 a 2024.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Lucie Bránková Vilamová, náměstkyně primátora Ostravy:</w:t>
      </w:r>
      <w:r>
        <w:rPr/>
        <w:t xml:space="preserve"> "</w:t>
      </w:r>
      <w:r>
        <w:rPr>
          <w:i w:val="1"/>
          <w:iCs w:val="1"/>
        </w:rPr>
        <w:t xml:space="preserve">Zároveň je nutné i nadále pokračovat v odpovědném přístupu k hospodaření města při současném naplňování jeho strategického plánu."</w:t>
      </w:r>
    </w:p>
    <w:p>
      <w:pPr/>
      <w:r>
        <w:rPr/>
        <w:t xml:space="preserve">Výhled ratingu je negativní, odráží negativní výhled na rating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843/moodys-potvrdila-ostrave-ratingove-ohodnoceni-zustava-aa3-s-negativnim-vyh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2026-06-16T08:21:38+02:00</dcterms:created>
  <dcterms:modified xsi:type="dcterms:W3CDTF">2026-06-16T08:21:38+02:00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