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podmiňuje výstavbu větrníků regionální spotřebou</w:t>
      </w:r>
    </w:p>
    <w:p>
      <w:pPr/>
      <w:r>
        <w:rPr/>
        <w:t xml:space="preserve">Komora obnovitelných zdrojů energie se snaží šířit o  větrných elektrárnách pozitivní kampaň. A to i v našem kraji.</w:t>
      </w:r>
    </w:p>
    <w:p>
      <w:pPr/>
      <w:r>
        <w:rPr>
          <w:b w:val="1"/>
          <w:bCs w:val="1"/>
        </w:rPr>
        <w:t xml:space="preserve">Štěpán Chalupa, předseda Komory obnovitelných zdrojů energie: </w:t>
      </w:r>
      <w:r>
        <w:rPr/>
        <w:t xml:space="preserve"> „Zabírá velmi málo místa, až doslouží, můžeme ji demontovat, přináší pracovní  příležitosti, zbavuje nás závislosti na dovozu energií ze zahraničí a přináší  prospěch i místním v podobě ekonomických benefitů.“</w:t>
      </w:r>
    </w:p>
    <w:p>
      <w:pPr/>
      <w:r>
        <w:rPr/>
        <w:t xml:space="preserve">MS kraj na výstavbu nových větrných elektráren pohlíží zatím  s opatrností.</w:t>
      </w:r>
    </w:p>
    <w:p>
      <w:pPr/>
      <w:r>
        <w:rPr>
          <w:b w:val="1"/>
          <w:bCs w:val="1"/>
        </w:rPr>
        <w:t xml:space="preserve">Jakub Unucka (ODS), první náměstek hejtmana MS kraje: </w:t>
      </w:r>
      <w:r>
        <w:rPr/>
        <w:t xml:space="preserve">„Asi  každý u nás na Karvinsku a Ostravsku viděl, co u nás udělala těžba, jak jsme se  vůči zbytku republiky obětovali. Otázka je, jestli si máme další kus kraje  nechat zaplevelit větráky a za 100 let chodit po těch betonových patkách a  řešit, jak se toho zbavit. Nás by přesvědčila jedině regionální výroba a  regionální spotřeba.“</w:t>
      </w:r>
    </w:p>
    <w:p>
      <w:pPr/>
      <w:r>
        <w:rPr/>
        <w:t xml:space="preserve">Nejvhodnější lokality v kraji se podle odborníků  nacházejí na Opavsku.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56/kraj-podminuje-vystavbu-vetrniku-regionalni-spotr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2026-05-17T03:59:40+02:00</dcterms:created>
  <dcterms:modified xsi:type="dcterms:W3CDTF">2026-05-17T03:59:40+02:00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