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miliony z loterií na sociální služby. Podpořeno bude 29 projektů</w:t>
      </w:r>
    </w:p>
    <w:p>
      <w:pPr/>
      <w:r>
        <w:rPr/>
        <w:t xml:space="preserve">V Ostravě je provozování výherních automatů zakázáno vyhláškou již  od roku 2019. Pořád ale městu náleží podíl z celostátního výnosu daně z hazardních her. V roce 2012 začala Ostrava podporovat prostřednictvím dotačního titulu Loterie rozvoj sociálních služeb.  Zastupitelé schválili podporu 29 projektů v celkové částce 5,5 milionů korun.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„Prioritou dotačního programu je zkvalitňování životních podmínek klientů sociálních služeb a souvisejících  aktivit prostřednictvím zlepšení materiálního a technického vybavení poskytovatelů z řad nestátních  neziskových organizací zajišťujících sociální služby a související aktivity občanům města Ostravy. Je jedním  z mála dotačních titulů pro poskytovatele sociálních služeb a souvisejících aktivit, který neslouží  k financování běžných provozních výdajů, ale ze kterého je možné použít dotaci na úhradu výdajů  investičního charakteru."</w:t>
      </w:r>
    </w:p>
    <w:p>
      <w:pPr/>
      <w:r>
        <w:rPr/>
        <w:t xml:space="preserve">Záměrem je podpořit zejména investiční projekty organizací, u kterých již byla přiznána dotace z externích  zdrojů a u který je povinná spoluúčast financování.  Podpořeny jsou též projekty finančně nákladných rekonstrukcí a oprav. Například Charita Ostrava využije peníze na dva projekty.</w:t>
      </w:r>
    </w:p>
    <w:p>
      <w:pPr/>
      <w:r>
        <w:rPr>
          <w:b w:val="1"/>
          <w:bCs w:val="1"/>
        </w:rPr>
        <w:t xml:space="preserve">Dalibor Kraut, mluvčí Charity Ostrava: </w:t>
      </w:r>
      <w:r>
        <w:rPr/>
        <w:t xml:space="preserve">"Jeden je v objemu 500 tisíc korun a využijeme ho v Charitním domě Salvator v Krnově, kde budeme opravovat střechu a 400 tisíc využijeme v Charitním domě sv. Františka, což je azylový dům s noclehárnou pro muže bez přístřeší, kde vybudujeme aktivizační místnost."</w:t>
      </w:r>
    </w:p>
    <w:p>
      <w:pPr/>
      <w:r>
        <w:rPr/>
        <w:t xml:space="preserve">Celkový letošní výnos z daně z loterií bude asi 70  milionů korun. Polovina těchto příjmů bude přerozdělena mezi 23 městských obvodů a druhá část půjde na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076/ostrava-rozdelila-miliony-z-loterii-na-socialni-sluzby-podporeno-bude-29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2026-05-26T23:50:20+02:00</dcterms:created>
  <dcterms:modified xsi:type="dcterms:W3CDTF">2026-05-26T23:50:20+02:00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