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 Kopci mají nově na zahradě smyslový chodníček</w:t>
      </w:r>
    </w:p>
    <w:p>
      <w:pPr/>
      <w:r>
        <w:rPr>
          <w:b w:val="1"/>
          <w:bCs w:val="1"/>
        </w:rPr>
        <w:t xml:space="preserve">DĚTI Z MŠ NA KOPCI MAJÍ SVŮJ SMYSLOVÝ CHODNÍČEK</w:t>
      </w:r>
    </w:p>
    <w:p>
      <w:pPr/>
      <w:r>
        <w:rPr/>
        <w:t xml:space="preserve">Děti z Mateřské školky Na Kopci  si mohly díky projektu GrowingGreen Children, jehož hlavním cílem je prohloubení pozitivního vztahu dětí k přírodě,  vyzkoušet vytvářet vlastní ekosystém, zasadily rostlinky a seznamovaly se s biodiverzitou na zahradě školky. Dobrovolníci zapojení do projektu pro děti vytvořili také smyslový chodníček.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188/deti-z-ms-na-kopci-maji-nove-na-zahrade-smyslovy-chod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2026-06-29T03:31:51+02:00</dcterms:created>
  <dcterms:modified xsi:type="dcterms:W3CDTF">2026-06-29T03:31:51+02:00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