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získal unikátní exponáty a pořádá akce k letošnímu roku Harrachů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„My jsme připomínali tu nejvýraznější osobnost našeho zámku, hraběnku Marii Walburgu, na zámku probíhaly kostýmované prohlídky pokojů zámku a ve velkém sále pak také živé obrazy, které představily takové tajné noční dobrodružství hraběnky Walburgy.“</w:t>
      </w:r>
    </w:p>
    <w:p>
      <w:pPr/>
      <w:r>
        <w:rPr/>
        <w:t xml:space="preserve"> Zámek v letošním roce Harrachů obohatily unikátní exponáty.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„Velice cenné zápůjčky obrazů hraběnky Walburgy, nicméně Muzeu Novojičínska se letos také podařilo do svých sbírek získat velice drahocennou livrej sloužících Harrachovského rodu, jsou opatřeny knoflíky se znakem rodiny Harrachů.“</w:t>
      </w:r>
    </w:p>
    <w:p>
      <w:pPr/>
      <w:r>
        <w:rPr/>
        <w:t xml:space="preserve"> Stále více návštěvníků se účastní pravidelných prohlídek zámku.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>
          <w:b w:val="1"/>
          <w:bCs w:val="1"/>
        </w:rPr>
        <w:t xml:space="preserve">Klaudie, průvodkyně:</w:t>
      </w:r>
      <w:r>
        <w:rPr/>
        <w:t xml:space="preserve"> 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>
          <w:b w:val="1"/>
          <w:bCs w:val="1"/>
        </w:rPr>
        <w:t xml:space="preserve">Jaroslav Zezulčík, kastelán zámku Kunín:</w:t>
      </w:r>
      <w:r>
        <w:rPr/>
        <w:t xml:space="preserve"> „Byla to skutečně obrovská návštěva potomků, kteří dnes žijí převážně v Rakousku a v Německu a navazovala také na historickou návštěvu pěti princů a princezen rodiny Lichtensteinů, kteří rovněž vlastnili náš zámek.“</w:t>
      </w:r>
    </w:p>
    <w:p>
      <w:pPr/>
      <w:r>
        <w:rPr/>
        <w:t xml:space="preserve">Další vrcholná akce – Růže pro hraběnku, zámek Kunín letos ještě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45/kuninsky-zamek-ziskal-unikatni-exponaty-a-porada-akce-k-letosnimu-roku-har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2026-05-25T18:58:55+02:00</dcterms:created>
  <dcterms:modified xsi:type="dcterms:W3CDTF">2026-05-25T18:58:55+02:00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