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MS kraj představil přípravu vodíkové strategie</w:t>
      </w:r>
    </w:p>
    <w:p>
      <w:pPr/>
      <w:r>
        <w:rPr>
          <w:b w:val="1"/>
          <w:bCs w:val="1"/>
        </w:rPr>
        <w:t xml:space="preserve">Daniel Minařík, zmocněnec MS kraje pro rozvoj vodíkových  technologií:</w:t>
      </w:r>
      <w:r>
        <w:rPr/>
        <w:t xml:space="preserve"> „Probíhá teď její zpracování, pracuje na ní Vodíkový klastr. Teď  uzavíráme analytickou část, řekneme si, jaký je další postup, a postoupíme do  části návrhové. Utvoříme si také krajské vodíkové vize.“</w:t>
      </w:r>
    </w:p>
    <w:p>
      <w:pPr/>
      <w:r>
        <w:rPr/>
        <w:t xml:space="preserve">Na setkání se prezentovaly i firmy, které svou budoucnost  spojily s vodíkem.</w:t>
      </w:r>
    </w:p>
    <w:p>
      <w:pPr/>
      <w:r>
        <w:rPr>
          <w:b w:val="1"/>
          <w:bCs w:val="1"/>
        </w:rPr>
        <w:t xml:space="preserve">Vladimír Štelbacký, zástupce investora:</w:t>
      </w:r>
      <w:r>
        <w:rPr/>
        <w:t xml:space="preserve"> „Chceme investovat  do výroby zeleného vodíku, chceme výrazně posílit dopravu. Máme zákazníky,  kteří mají v plánu rozvinout vodíkovou nákladní dopravu. Investovat budeme  také do energetiky.“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01/energie-a-kraj-ms-kraj-predstavil-pripravu-vodikove-strate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2026-06-25T14:20:17+02:00</dcterms:created>
  <dcterms:modified xsi:type="dcterms:W3CDTF">2026-06-25T14:20:17+02:00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