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Frýdlantu hostili studenty z Indie a Itálie</w:t>
      </w:r>
    </w:p>
    <w:p>
      <w:pPr/>
      <w:r>
        <w:rPr/>
        <w:t xml:space="preserve">Gymnazisté z Frýdlantu v rámci Mezinárodního týdne hostili studenty z Itálie a Indie. Indickou skupinu do města dokonce doprovodil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856/gymnaziste-z-frydlantu-hostili-studenty-z-indie-a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2026-05-15T22:29:05+02:00</dcterms:created>
  <dcterms:modified xsi:type="dcterms:W3CDTF">2026-05-15T22:29:05+02:00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