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9.11.2023,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zainvestovala do opravy ulice Bažantnice</w:t>
      </w:r>
    </w:p>
    <w:p>
      <w:pPr/>
      <w:r>
        <w:rPr>
          <w:b w:val="1"/>
          <w:bCs w:val="1"/>
        </w:rPr>
        <w:t xml:space="preserve">Jindřich Feber (PROAL), starosta obce Albrechtice: </w:t>
      </w:r>
      <w:r>
        <w:rPr/>
        <w:t xml:space="preserve">„Ta cesta byla dělaná ještě kdysi, starým způsobem, chybí tady podklad. Ta rekonstrukce je náročná v tom, že je třeba nejen sundat vršek, ale je třeba udělat i nový podklad.“</w:t>
      </w:r>
    </w:p>
    <w:p>
      <w:pPr/>
      <w:r>
        <w:rPr/>
        <w:t xml:space="preserve">Celá investiční akce je hrazena je z rozpočtu obce. V příštím roce se obec Albrechtice chystá na rekonstrukci  posledního úseku o délce zhruba 800 metrů na ulici Osvobození.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40038/obec-zainvestovala-do-opravy-ulice-bazant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2026-10-15T12:28:18+02:00</dcterms:created>
  <dcterms:modified xsi:type="dcterms:W3CDTF">2026-10-15T12:28:18+02:00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