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v Chotěbuzi proběhl Den keramické zručnosti pro děti i dospělé</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b w:val="1"/>
          <w:bCs w:val="1"/>
        </w:rPr>
        <w:t xml:space="preserve">Anketa: účastníci akce:  </w:t>
      </w:r>
      <w:r>
        <w:rPr/>
        <w:t xml:space="preserve">“Na první pokus to nebylo moc dobré, na druhý mi to už šlo. Vytvořila jsem misku.”</w:t>
      </w:r>
    </w:p>
    <w:p>
      <w:pPr/>
      <w:r>
        <w:rPr/>
        <w:t xml:space="preserve">“ Práce s hrnčířským kruhem byla těžká, moc to nešlo dát nahoru, dělám si tu hrnek na tužky a na něm modeluji kytičku:”</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311/v-archeoparku-v-chotebuzi-probehl-den-keramicke-zrucnosti-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2026-05-08T07:55:45+02:00</dcterms:created>
  <dcterms:modified xsi:type="dcterms:W3CDTF">2026-05-08T07:55:45+02:00</dcterms:modified>
</cp:coreProperties>
</file>

<file path=docProps/custom.xml><?xml version="1.0" encoding="utf-8"?>
<Properties xmlns="http://schemas.openxmlformats.org/officeDocument/2006/custom-properties" xmlns:vt="http://schemas.openxmlformats.org/officeDocument/2006/docPropsVTypes"/>
</file>