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Třinec otevřelo novou sportovní halu</w:t>
      </w:r>
    </w:p>
    <w:p>
      <w:pPr/>
      <w:r>
        <w:rPr/>
        <w:t xml:space="preserve">Stavba nové sportovní haly v Třinci trvala více než rok a 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„Stará  hala už byla v havarijním stavu, proto jsme se ji rozhodli strhnout a  postavit novou multifunkční halu. Náklady byly 82 milionů korun a vše hradil MS  kraj.“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„Dnešní sportovištěmusí být moderní, například florbal potřebuje jiné  parametry. Hala nebude sloužit jen studentům, ale také sportovním klubům a 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 rádi, že se podařilo najít prostředky. Snažili jsme se vyhovět sportům, o které 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 procento studentů, kteří mají o sport zájem. A nová hala nám v tom určitě  pomůže.“</w:t>
      </w:r>
    </w:p>
    <w:p>
      <w:pPr/>
      <w:r>
        <w:rPr>
          <w:b w:val="1"/>
          <w:bCs w:val="1"/>
        </w:rPr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 venkovním sportovišti bylo prodloužení běžecké dráhy. Má nyní sto metrů a  dostala nový tartanový povrch.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66/studuj-u-nas-gymnazium-trinec-otevrelo-novou-sporto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