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bude hospodařit s téměř 40 miliardami korun. Na investice půjde přes 5 miliard kč</w:t>
      </w:r>
    </w:p>
    <w:p>
      <w:pPr/>
      <w:r>
        <w:rPr/>
        <w:t xml:space="preserve">Rozpočet MS kraje na příští rok počítá s celkovými výdaji 39,5 miliardy korun, přičemž běžné výdaje dosáhnou částky 34,5 miliardy korun. Jejich meziroční navýšení  souvisí se zapojením neinvestičních dotací poskytovaných ze státního rozpočtu.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„Rozpočet je zpracován s využitím aktuálních odborných predikcí, vychází ze  strategických dokumentů schválených krajským zastupitelstvem, zejména ze  Strategie rozvoje Moravskoslezského kraje na léta 2019–2027, a bude pokračovat v  naplňování programového prohlášení rady kraje Vize 2030."</w:t>
      </w:r>
    </w:p>
    <w:p>
      <w:pPr/>
      <w:r>
        <w:rPr/>
        <w:t xml:space="preserve">Kapitálové výdeje by měly přesáhnout 5 miliard korun. Část tvoří  výdaje na projekty spolufinancované z Evropské unie, ale kraj také pokračuje s investicemi  z vlastních zdrojů. Rozpočet nově  upřednostňuje akce, které mají za cíl vyřešit stavebně technický stav nemovitostí  kraje.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"„Snažíme se stále optimalizovat provozní výdaje. Výdaje na provoz příspěvkových  organizací jsou meziročně o 3 procenta sníženy, a to kvůli příznivějším cenám  energií, které jsme vysoutěžili pro celou korporaci na burze. Organizacím kraj  poskytne návratnou finanční výpomoc 322 milionů korun. Proto, aby jim pomohl  s realizací projektů spolufinancovaných z operačních programů a aby překonaly  mezidobí, než jim budou uděleny státní dotace a nemusely si brát půjčky."</w:t>
      </w:r>
    </w:p>
    <w:p>
      <w:pPr/>
      <w:r>
        <w:rPr/>
        <w:t xml:space="preserve">Schodek tři miliardy korun kraj pokryje jednak z vlastních úspor z předchozích let a také z úvěrových zdrojů. Čerpání úvěrů povede v roce k mírnému nárůstu zadluženosti. Celková výše dluhu se na konci příštího roku přiblíží hranici 3,8 miliardy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512/ms-kraj-bude-hospodarit-s-temer-40-miliardami-korun-na-investice-pujde-pres-5-miliard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2026-04-21T11:47:48+02:00</dcterms:created>
  <dcterms:modified xsi:type="dcterms:W3CDTF">2026-04-21T11:47:48+02:00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