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15.12.2023, 12:10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utratí miliardu, počítá s opravou venkovního bazénu</w:t>
      </w:r>
    </w:p>
    <w:p>
      <w:pPr/>
      <w:r>
        <w:rPr/>
        <w:t xml:space="preserve">Příjmová stránka rozpočtu Nového Jičína na rok 2024 vykazuje 839 milionů korun, na straně výdajů je 1 miliarda a 12 milionů korun. Schodek rozpočtu je vyrovnán zůstatky z vlastních zdrojů na účtech města.  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“Musíme řešit i některé havárie, což je rekonstrukce venkovního bazénu, které by měla začít příští rok, nebo rekonstrukce kuchyně Základní školy Dlouhá.”     </w:t>
      </w:r>
    </w:p>
    <w:p>
      <w:pPr/>
      <w:r>
        <w:rPr>
          <w:b w:val="1"/>
          <w:bCs w:val="1"/>
        </w:rPr>
        <w:t xml:space="preserve">Jaroslav Dvořák (SOCDEM), zastupitel Nového Jičína: </w:t>
      </w:r>
      <w:r>
        <w:rPr/>
        <w:t xml:space="preserve">“My jako Víc pro Nový Jičín s ČSSD jsme hlasovali proti rozpočtu, považujeme ho za špatný. Rozpočet je výrazně schodkový.”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“Z mého pohledu je tento rozpočet vyvážený. Co se mě líbí, a to má podporu i nezávislých ekonomů, že rozpočet je směřován k investičním akcím do příštího roku. Vysoký objem peněz budeme investovat do té části projektové.” </w:t>
      </w:r>
    </w:p>
    <w:p>
      <w:pPr/>
      <w:r>
        <w:rPr/>
        <w:t xml:space="preserve">Město například počítá s přípravou projektové dokumentace na dvě nové sportovní haly, multifunkční a tenisovou.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“Já považuji za velice důležité, že se do rozpočtu podařilo dostat rekonstrukci dalšího školního hřiště na Komenského 66.”  </w:t>
      </w:r>
    </w:p>
    <w:p>
      <w:pPr/>
      <w:r>
        <w:rPr/>
        <w:t xml:space="preserve">V rozpočtu jsou i finance na výstavbu nového parkoviště na Vančurově ulici nebo téměř 36 milionů korun na podporu aktivit sportovních a kulturních spolků a sociálních organizací.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0619/novy-jicin-utrati-miliardu-pocita-s-opravou-venkovniho-baze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2026-05-12T19:21:48+02:00</dcterms:created>
  <dcterms:modified xsi:type="dcterms:W3CDTF">2026-05-12T19:21:48+02:00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