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tisíc korun půjde na edukační panely, o projektu rozhodlo havířovské školské zastupitelstvo</w:t>
      </w:r>
    </w:p>
    <w:p>
      <w:pPr/>
      <w:r>
        <w:rPr/>
        <w:t xml:space="preserve">Při druhém zasedání školského zastupitelstva čekalo na studenty několik změn. Museli zvládnout procesní záležitosti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"Za mě, já si myslím, že rozhodovat o takto velkých věcech, je pro mě velká čest, protože 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na odborech magistrátu sebrali návrhy, kterých je celkem devět, které jsou v nějaké fázi rozpracovanosti a dneska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 V Trojanovicích to tak mají a je to fajn a k tomu se asi budu naklánět. Ale je také možnost, že 25 tisíc na něco a 25 tisíc na druhou věc." Co si myslíš, že by mělo být na těch edukačních panelech? 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Na návrh studenta Gymnázia Komenského bylo schváleno také usnesení na podporu a aktivní spolupráci ostatních škol při studentské akci Majáles.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35/50-tisic-korun-pujde-na-edukacni-panely-o-projektu-rozhodlo-havirovske-skolsk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