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jarmark v historické budově Muzea Těšínska</w:t>
      </w:r>
    </w:p>
    <w:p>
      <w:pPr/>
      <w:r>
        <w:rPr>
          <w:b w:val="1"/>
          <w:bCs w:val="1"/>
        </w:rPr>
        <w:t xml:space="preserve">Pavlína Badurová, vedoucí historické budovy Muzea Těšínska: </w:t>
      </w:r>
      <w:r>
        <w:rPr/>
        <w:t xml:space="preserve">“Muzeum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 </w:t>
      </w:r>
      <w:r>
        <w:rPr/>
        <w:t xml:space="preserve">“My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669/vanocni-jarmark-v-historicke-budove-muzea-tes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2026-05-08T11:29:34+02:00</dcterms:created>
  <dcterms:modified xsi:type="dcterms:W3CDTF">2026-05-08T11:29:34+02:00</dcterms:modified>
</cp:coreProperties>
</file>

<file path=docProps/custom.xml><?xml version="1.0" encoding="utf-8"?>
<Properties xmlns="http://schemas.openxmlformats.org/officeDocument/2006/custom-properties" xmlns:vt="http://schemas.openxmlformats.org/officeDocument/2006/docPropsVTypes"/>
</file>