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bude v roce 2024 hospodařit s rozpočtem ve výši přes jednu a půl miliardy korun</w:t>
      </w:r>
    </w:p>
    <w:p>
      <w:pPr/>
      <w:r>
        <w:rPr/>
        <w:t xml:space="preserve">Vzhledem k nově zavedeným vládním opatřením a aktualizované vyhlášce o stanovení koeficientů pro výpočet daně z nemovitosti dojde k posílení příjmové stránky rozpočtu o 70 milionů korun, na druhou stranu obvod získá méně ze sdílených daní. </w:t>
      </w:r>
    </w:p>
    <w:p>
      <w:pPr/>
      <w:r>
        <w:rPr>
          <w:b w:val="1"/>
          <w:bCs w:val="1"/>
        </w:rPr>
        <w:t xml:space="preserve"> Martina Jarošková (ANO), místostarostka MOb Ostrava-Jih:</w:t>
      </w:r>
      <w:r>
        <w:rPr/>
        <w:t xml:space="preserve"> “Letos jsme schválili historicky nejvyšší rozpočet. Je to přes jednu a půl miliardy korun. Tímto bych chtěla poděkovat všem, co se na něm podíleli a snažili jsme se ho sestavit tak, aby byly zachovány běžné výdaje tak, aby nebyla snížena úroveň lidí, protože díky cenám energií, služeb, nárůstu a také inflace, konsolidační balíček. Toto vše nám zamíchalo kartami, nicméně myslím si, že je to sestaveno tak, abychom mohli nadále v našem městském obvodě zanechat, nebo ponechat si nějakou slušnou hladinu žití a nezapomněli jsme ani na žádné investiční akce, byť jsme museli některé trochu omezit, nebo zatím odsunout. Mezi největší investiční akce patří rekonstrukce haly Dubina a také rekonstrukce náměstí před poliklinikou v Hrabůvce.” </w:t>
      </w:r>
    </w:p>
    <w:p>
      <w:pPr/>
      <w:r>
        <w:rPr/>
        <w:t xml:space="preserve"> Rozdíl mezi očekávanými příjmy a výdaji je zhruba 115 milionů korun. Obvod ho pokryje díky kladnému zůstatku hospodaření z minulých let. Velkou měrou se na financování městského obvodu podepíší i splátky jistin z dlouhodobého bankovního úvěru určeného na modernizaci bytového fondu a úvěru pro předfinancování nákladů dotačních projektů. Ty v příštím roce dosáhnou částky téměř 25 milionů korun. Obvod navíc stále hledá možné úspory, od nového roku mimo jiné sníží počet úředníků.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795/radnice-ostravyjihu-bude-v-roce-2024-hospodarit-s-rozpoctem-ve-vysi-pres-jednu-a-pul-miliard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