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MS kraj by mohl k výrobě vodíku použít pouhelné zdroje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„V roce  2023 jsme se výrazně posunuli kupředu. V našem kraji jsou vodíková auta,  vodíková Tatrovka a v tuto chvíli kraj vypisuje tender na 30 vodíkových  autobusů. Více zatím bohužel nemůžeme, protože cena vodíku je tak vysoká, že  bychom to z rozpočtu neufinancovali.“</w:t>
      </w:r>
    </w:p>
    <w:p>
      <w:pPr/>
      <w:r>
        <w:rPr>
          <w:b w:val="1"/>
          <w:bCs w:val="1"/>
        </w:rPr>
        <w:t xml:space="preserve">Martin Václavek, generální ředitel, ČEZ ENERGO:</w:t>
      </w:r>
      <w:r>
        <w:rPr/>
        <w:t xml:space="preserve"> „MS kraj je  velkým průkopníkem v této oblasti. Osobně vím o třech velkých vodíkových  projektech, které se v rámci našeho regionu připravují.“</w:t>
      </w:r>
    </w:p>
    <w:p>
      <w:pPr/>
      <w:r>
        <w:rPr>
          <w:b w:val="1"/>
          <w:bCs w:val="1"/>
        </w:rPr>
        <w:t xml:space="preserve">Daniel Minařík, zmocněnec MS kraje pro rozvoj vodíkových  technologií:</w:t>
      </w:r>
      <w:r>
        <w:rPr/>
        <w:t xml:space="preserve"> „Strategii finalizujeme tak, abychom ji už od roku 2024 mohli  naplňovat.“</w:t>
      </w:r>
    </w:p>
    <w:p>
      <w:pPr/>
      <w:r>
        <w:rPr>
          <w:b w:val="1"/>
          <w:bCs w:val="1"/>
        </w:rPr>
        <w:t xml:space="preserve">Karel Vinkler, ředitel sekce strategie, ČEPS:</w:t>
      </w:r>
      <w:r>
        <w:rPr/>
        <w:t xml:space="preserve"> „Vodík má  pořád ještě vysoké náklady, ať už se to týká výroby, dopravy a distribuce. Je  tady ale spousta podniků, které mohou vyrábět podpůrné technologie. Spíše se  zaměřujeme na ty koncové technologie.“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812/energie-a-kraj-ms-kraj-by-mohl-k-vyrobe-vodiku-pouzit-pouhelne-zd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2026-06-15T04:48:00+02:00</dcterms:created>
  <dcterms:modified xsi:type="dcterms:W3CDTF">2026-06-15T04:48:00+02:00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