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EU hrozí, že nesplní své klimatické cíle pro rok 2030</w:t>
      </w:r>
    </w:p>
    <w:p>
      <w:pPr/>
      <w:r>
        <w:rPr/>
        <w:t xml:space="preserve">Členské státy musí předložit své finální plány pro naplnění  cílů snížení emisí skleníkových plynů do června 2024. Zatím Komise obdržela  pouze 21 z nich, a to za účelem detailnější analýzy.</w:t>
      </w:r>
    </w:p>
    <w:p>
      <w:pPr/>
      <w:r>
        <w:rPr/>
        <w:t xml:space="preserve">Podle slov evropského komisaře Wopke Hoekstra je jasné, že  EU potřebuje "silnější závazky v konečných plánech" především v  sektorech zemědělství, vytápění a silniční dopravě. V těchto sektorech,  nazývaných též jako sektory společného úsilí, které spolu vyprodukují kolem 57  % emisí veškerých skleníkových plynů v EU, dojde podle vyjádření k nejméně  uspokojivému snížení oproti předpokládanému stavu.</w:t>
      </w:r>
    </w:p>
    <w:p>
      <w:pPr/>
      <w:r>
        <w:rPr/>
        <w:t xml:space="preserve">Hrozí, že cíl 40% snížení emisí v těchto sektorech se  nepodaří splnit až o 6,2 procentního bodu. Dalším cílem, který nemá zrovna  růžovou budoucnost, je podíl výroby obnovitelných zdrojů energie na hrubé  konečné spotřebě, který může v roce 2030 představovat pouhých 38, 5 % oproti  původním 42,5 %.</w:t>
      </w:r>
    </w:p>
    <w:p>
      <w:pPr/>
      <w:r>
        <w:rPr/>
        <w:t xml:space="preserve">Nejhorší výsledek však vykazuje prognóza plnění cílů  energetické účinnosti, kde komise předpokládá 5,8 % zlepšení, což je v  porovnání s původním cílem 11,7 % bezmála poloviční hodnota.</w:t>
      </w:r>
    </w:p>
    <w:p>
      <w:pPr/>
      <w:r>
        <w:rPr/>
        <w:t xml:space="preserve">Naděje byly kladeny i do zachytávání uhlíku pomocí  ekosystémů jako jsou lesy či rašeliniště. Ty však nedokážou splnit původní cíl  zachycení 310 milionů tun ekvivalentu CO2 asi o 50 tun.</w:t>
      </w:r>
    </w:p>
    <w:p>
      <w:pPr/>
      <w:r>
        <w:rPr/>
        <w:t xml:space="preserve">Záminkou zpoždění jsou často překážky spojené s národními  politikami. Bulharsko, Lotyšsko a Polsko nedodrželi finální termín zaslání  draftu k revizi do 14. 12. 2023. Podle některých se právě tyto země zdráhají  zbavit fosilních paliv.</w:t>
      </w:r>
    </w:p>
    <w:p>
      <w:pPr/>
      <w:r>
        <w:rPr/>
        <w:t xml:space="preserve">V Maďarsku se zase odklon od uhlí posouvá na rok 2029, což  je o dva roky později než se původně deklarovalo, zatímco Slovensko v této  problematice zůstává nerozhodné.</w:t>
      </w:r>
    </w:p>
    <w:p>
      <w:pPr/>
      <w:r>
        <w:rPr/>
        <w:t xml:space="preserve">Problémem však není jenom zákaz využívání uhlí a pomalý  odklon od fosilních paliv. Většina zemí v rámci tohoto regionu nedisponuje  konkrétními plány na přechod k nízkouhlíkové energetice.</w:t>
      </w:r>
    </w:p>
    <w:p>
      <w:pPr/>
      <w:r>
        <w:rPr/>
        <w:t xml:space="preserve">Od publikování svých prvních environmentálních cílů v roce  1973 Evropská unie pravidelně monitoruje implementaci a úspěšnost daných  politik. Klimatické cíle pro rok 2020 se podařilo naplnit úspěšně, nicméně  panuje všeobecná shoda, že ekonomická krize v roce 2008 a následky pandemie  COVID-19 byly výraznými proměnnými, které dopomohly k jejich naplnění.</w:t>
      </w:r>
    </w:p>
    <w:p>
      <w:pPr/>
      <w:r>
        <w:rPr/>
        <w:t xml:space="preserve">Zástupci Evropského účetního  dvora však varují, že političtí představitelné by se neměli spoléhat na externí  faktory. Namísto toho by měli aktivně vytvářet politiky, které budou  reflektovat skutečný stav a budou se soustředit na ty nejrelevantnější výzvy,  jako je například nastavení přísnějších cílů v sektorech zemědělství, vytápění  a silniční dopravě.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13/energie-a-kraj-eu-hrozi-ze-nesplni-sve-klimaticke-cile-pro-rok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2026-08-25T14:33:34+02:00</dcterms:created>
  <dcterms:modified xsi:type="dcterms:W3CDTF">2026-08-25T14:33:34+02:00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