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zahájil projekt snižování energetické náročnosti v městských budovách</w:t>
      </w:r>
    </w:p>
    <w:p>
      <w:pPr/>
      <w:r>
        <w:rPr/>
        <w:t xml:space="preserve">Domovy seniorů, základní školy, nebo kulturní domy. To jsou budovy, které jsou energeticky náročné a kde chce Havířov do roku 2025 provést rozsáhlá energetická opatření. Projekt počítá s fotovoltaikou, s výměnou 19 tisíc osvětlení za led svítidla.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>
          <w:b w:val="1"/>
          <w:bCs w:val="1"/>
        </w:rPr>
        <w:t xml:space="preserve">“</w:t>
      </w:r>
      <w:r>
        <w:rPr/>
        <w:t xml:space="preserve">Celkem v té první fázi se bude jednat o 22 objektů. Někde dojde k zateplení, někde dojde k výměně oken. V rámci kombinace těch všech opatření by mělo dojít k významným úsporám. A tento projekt i počítá s umístěním s poměrně značné kapacity obnovitelných zdrojů a fotovoltaiky na střechách.” </w:t>
      </w:r>
    </w:p>
    <w:p>
      <w:pPr/>
      <w:r>
        <w:rPr/>
        <w:t xml:space="preserve">Do projektu energetických úspor je zahrnuta například i budova magistrátu. I zde se počítá s fotovoltaikou. Součástí projektu je i osazení 4000 radiátorů termostatickými hlavicemi. Jaké to je mít chytrou regulaci topení, vědí už několik let na ZŠ M. Pujmanové. </w:t>
      </w:r>
    </w:p>
    <w:p>
      <w:pPr/>
      <w:r>
        <w:rPr>
          <w:b w:val="1"/>
          <w:bCs w:val="1"/>
          <w:i w:val="1"/>
          <w:iCs w:val="1"/>
        </w:rPr>
        <w:t xml:space="preserve">Martin Irein, ředitel ZŠ M. Pujmanové: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My můžeme regulovat napříč celou školou teploty v jednotlivých místnostech a můžeme to sledovat dálkově. Například já z domu běžně o víkendu, když jsou nějaké výkyvy teplotní, tak se dívám, jak škola vypadá a případně zasahuji do té regulace."</w:t>
      </w:r>
    </w:p>
    <w:p>
      <w:pPr/>
      <w:r>
        <w:rPr/>
        <w:t xml:space="preserve">Náklady na realizaci úsporných opatření budou 151 milionů korun, s tím, že roční úspory představují 14,6 milionu korun. Ty má navíc město smluvně garantováno po dobu deseti let poskytovatelem. Havířov za projekt získal také první místo v soutěži Asociace poskytovatelů energetických služeb, a to právě za jeho komplexnost.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262/havirov-zahajil-projekt-snizovani-energeticke-narocnosti-v-mestskych-budov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2026-07-01T10:32:24+02:00</dcterms:created>
  <dcterms:modified xsi:type="dcterms:W3CDTF">2026-07-01T10:32:24+02:00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