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odborné pozice na svých školách</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 </w:t>
      </w:r>
      <w:r>
        <w:rPr/>
        <w:t xml:space="preserve">„V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b w:val="1"/>
          <w:bCs w:val="1"/>
        </w:rPr>
        <w:t xml:space="preserve">Karin Vítková, školní asistent:</w:t>
      </w:r>
      <w:r>
        <w:rPr/>
        <w:t xml:space="preserve">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24/ostrava-podporuje-odborne-pozice-na-svy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2026-05-17T03:59:49+02:00</dcterms:created>
  <dcterms:modified xsi:type="dcterms:W3CDTF">2026-05-17T03:59:49+02:00</dcterms:modified>
</cp:coreProperties>
</file>

<file path=docProps/custom.xml><?xml version="1.0" encoding="utf-8"?>
<Properties xmlns="http://schemas.openxmlformats.org/officeDocument/2006/custom-properties" xmlns:vt="http://schemas.openxmlformats.org/officeDocument/2006/docPropsVTypes"/>
</file>