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MNO začala sloužit nová hyperbarická komora. Patří k nejmodernějším v Evropě</w:t>
      </w:r>
    </w:p>
    <w:p>
      <w:pPr/>
      <w:r>
        <w:rPr/>
        <w:t xml:space="preserve">Hyperbarická komora v Městské nemocnici Ostrava funguje už od roku 1965 a byla první v Československu. Je tedy jasné, že i když stále fungovala, technologie byla už dávno překonaná. To je už ale minulostí, protože v nemocnici bylo otevřeno nové Centrum hyperbarické medicíny. Nová je budova i komora. 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"Je to moderní komora kvadratického tvaru s výrazně ekonomičtějším provozem, než byla ta stará.  Je v ní 16 dýchacích automatik, zatímco v té staré jich bylo10. Ta kapacita se tak výrazně navyšuje."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"Ta stará hyperbarická komora byla hodně poruchová. Původně měla být až součástí nového generelu, nicméně museli jsme to urychlit." </w:t>
      </w:r>
    </w:p>
    <w:p>
      <w:pPr/>
      <w:r>
        <w:rPr/>
        <w:t xml:space="preserve">Komora je umístěna v nově vybudovaném dvoupodlažním objektu. V přízemí je zázemí pro pacienty i personál. V druhém podlaží jsou ambulance a vyučovací prostory pro studenty Lékařské fakulty Ostravské univerzity.</w:t>
      </w:r>
    </w:p>
    <w:p>
      <w:pPr/>
      <w:r>
        <w:rPr>
          <w:b w:val="1"/>
          <w:bCs w:val="1"/>
        </w:rPr>
        <w:t xml:space="preserve">Michal Marianek (Ostravak), radní pro zdravotnictví MMO: </w:t>
      </w:r>
      <w:r>
        <w:rPr/>
        <w:t xml:space="preserve">"Výstavba centra stála přes 41 milionů korun bez DPH, </w:t>
      </w:r>
      <w:r>
        <w:rPr>
          <w:i w:val="1"/>
          <w:iCs w:val="1"/>
        </w:rPr>
        <w:t xml:space="preserve">komora</w:t>
      </w:r>
      <w:r>
        <w:rPr/>
        <w:t xml:space="preserve"> 36,5 milionu korun bez DPH a dalších zhruba 12 milionů korun bude potřeba na servis."</w:t>
      </w:r>
    </w:p>
    <w:p>
      <w:pPr/>
      <w:r>
        <w:rPr/>
        <w:t xml:space="preserve">Léčba v hyperbarické komoře se využívá asi u 20 léčebných indikací a stavů. Jsou to akutní i chronické indikace. Z akutních jsou to nejčastěji pacienty s otravou oxidem uhelnatým a z chronických je to nejčastěji ztráta sluchu.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57/v-mno-zacala-slouzit-nova-hyperbaricka-komora-patri-k-nejmodernejsim-v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2026-04-15T12:45:55+02:00</dcterms:created>
  <dcterms:modified xsi:type="dcterms:W3CDTF">2026-04-15T12:45:55+02:00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