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mají velmi nízké ztráty vody. Mohou za to rekordní investice</w:t>
      </w:r>
    </w:p>
    <w:p>
      <w:pPr/>
      <w:r>
        <w:rPr/>
        <w:t xml:space="preserve">V roce 2024 se chystá Ostrava, jako vlastník vodohospodářské infrastruktury, investovat do její obnovy a rozvoje 850 milionů korun. Stejně jako loni jde o rekordní částku, která mimo jiné umožňuje neustále snižovat ztráty v potrubí. Ty byly loni 8,6 procenta, přičemž průměr ČR je asi dvojnásobný.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"Je to asi nejvyšší číslo v dějinách, které do vodohospodářských sítí půjde. Z největších staveb tady máme kanalizaci Kunčice Kunčičky, což je akce za jednu miliardu, ale bude probíhat v průběhu tří let."</w:t>
      </w:r>
    </w:p>
    <w:p>
      <w:pPr/>
      <w:r>
        <w:rPr/>
        <w:t xml:space="preserve">Ostravské vodárny a kanalizace jsou zároveň průkopníky v moderních technologiích. Jako první v zemi zavedly dálkové odečty vody. Systémem už je pokryto 80 procent sítě a do dvou let by měl být všude. </w:t>
      </w:r>
    </w:p>
    <w:p>
      <w:pPr/>
      <w:r>
        <w:rPr>
          <w:b w:val="1"/>
          <w:bCs w:val="1"/>
        </w:rPr>
        <w:t xml:space="preserve">Petr Konečný, ředitel OVAK:</w:t>
      </w:r>
      <w:r>
        <w:rPr/>
        <w:t xml:space="preserve">   „Prostředky vynaložené OVAK na  zkvalitnění stavu vodohospodářské infrastruktury pro rok 2024  budou minimálně ve výši 468 mil. Kč, z toho 321 mil. Kč bude  uhrazeno prostřednictvím nájmu, zbylá část převážně formou  oprav financovaných společností OVAK. Jsou to jednak opravy havarijní, ale i většího rozsahu s projektovou dokumentací."</w:t>
      </w:r>
    </w:p>
    <w:p>
      <w:pPr/>
      <w:r>
        <w:rPr/>
        <w:t xml:space="preserve">Ostrava je z 60 procent zásobována vodou z přehrad Kružberk a Šance. Zbývajících 40 procent je voda podzemních zdrojů v Dubí a Nové Vsi. Vodovodní síť v Ostravě má přes tisíc kilometrů a jen o něco kratší je síť kanalizační.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80/ostravske-vodarny-maji-velmi-nizke-ztraty-vody-mohou-za-to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2026-04-17T11:26:28+02:00</dcterms:created>
  <dcterms:modified xsi:type="dcterms:W3CDTF">2026-04-17T11:26:28+02:00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