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loni odhalila téměř 70 procent pachatelů</w:t>
      </w:r>
    </w:p>
    <w:p>
      <w:pPr/>
      <w:r>
        <w:rPr/>
        <w:t xml:space="preserve">Souhrnnou zprávu o bezpečnostní situaci na území Nového Jičína v roce 2023 předložila na březnové schůzi zdejšímu zastupitelstvu Policie ČR i městská policie.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“V rámci působnosti obvodního oddělení v Novém Jičíně bylo v roce 2023 zjištěno 860 trestných činů, meziročně se tak jedná o nárůst o 8 trestných činů, přičemž u 586 trestných činů byl zjištěn pachatel, což činí objasněnost 67,59 procenta. Z dlouhodobého hlediska byla v roce 2023 zaznamenána nejvyšší úspěšnost ve zjišťování pachatelů trestné činnosti.“</w:t>
      </w:r>
    </w:p>
    <w:p>
      <w:pPr/>
      <w:r>
        <w:rPr/>
        <w:t xml:space="preserve">Policii se na Novojičínsku také dařilo odhalovat trestné činy spojené s drogovou kriminalitou. Na vzestupu jsou internetové podvody.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přestupků a městské policie, tak výrazné číslo jsme zaznamenali v měření rychlosti u nového bodového měření v Bludovicích, kde jsme zaznamenali v roce 2023 více jak 16 tisíc přestupků.” </w:t>
      </w:r>
    </w:p>
    <w:p>
      <w:pPr/>
      <w:r>
        <w:rPr/>
        <w:t xml:space="preserve">Celkově tu strážníci řešili v uplynulém roce téměř pět tisíc přestupků.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“Nejčastější jsou přestupky v dopravě, kdy se nejčastěji řeší špatné špatné parkování. Co se týče ostatních přestupků, tak městská policie samozřejmě řeší i rušení nočního klidu, zábory veřejného prostranství a znečišťování veřejného prostranství.”</w:t>
      </w:r>
    </w:p>
    <w:p>
      <w:pPr/>
      <w:r>
        <w:rPr/>
        <w:t xml:space="preserve">Město loni také modernizovalo bezpečnostní kamerový systém. Nyní umožňuje delší dobu archivace a napojení téměř neomezeného počtu kamer.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93/novojicinska-policie-loni-odhalila-temer-70-procent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2026-04-30T13:28:07+02:00</dcterms:created>
  <dcterms:modified xsi:type="dcterms:W3CDTF">2026-04-30T13:28:07+02:00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