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projekty ve Frýdku-Místku budou pokračovat i pod novým náměstkem</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 </w:t>
      </w: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 </w:t>
      </w: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pomoci, která je aktuálně v bytovém domě na Malém Koloredově."</w:t>
      </w:r>
    </w:p>
    <w:p>
      <w:pPr/>
      <w:r>
        <w:rPr/>
        <w:t xml:space="preserve">Výstavbu Domovinky i krizového bydlení Bethel výrazně  podpoří dotace z evropských fondů. </w:t>
      </w: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318/socialni-projekty-ve-frydkumistku-budou-pokracovat-i-pod-novym-name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2026-06-17T17:15:10+02:00</dcterms:created>
  <dcterms:modified xsi:type="dcterms:W3CDTF">2026-06-17T17:15:10+02:00</dcterms:modified>
</cp:coreProperties>
</file>

<file path=docProps/custom.xml><?xml version="1.0" encoding="utf-8"?>
<Properties xmlns="http://schemas.openxmlformats.org/officeDocument/2006/custom-properties" xmlns:vt="http://schemas.openxmlformats.org/officeDocument/2006/docPropsVTypes"/>
</file>