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vybavuje své organizace elektromobily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 </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Brzy přibude dalších pět  elektromobilů.</w:t>
      </w:r>
    </w:p>
    <w:p>
      <w:pPr/>
      <w:r>
        <w:rPr>
          <w:b w:val="1"/>
          <w:bCs w:val="1"/>
        </w:rPr>
        <w:t xml:space="preserve">Tomáš Böhm, ředitel Správy silnic MSK:</w:t>
      </w:r>
      <w:r>
        <w:rPr/>
        <w:t xml:space="preserve"> „Pro naši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Moravskoslezský  kraj také pokračuje v masivní instalaci fotovoltaických elektráren na  střechách krajských budov a připravuje další projekty na snížení spotřeby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417/kraj-vybavuje-sve-organizace-elektro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2026-06-18T22:37:41+02:00</dcterms:created>
  <dcterms:modified xsi:type="dcterms:W3CDTF">2026-06-18T22:37:41+02:00</dcterms:modified>
</cp:coreProperties>
</file>

<file path=docProps/custom.xml><?xml version="1.0" encoding="utf-8"?>
<Properties xmlns="http://schemas.openxmlformats.org/officeDocument/2006/custom-properties" xmlns:vt="http://schemas.openxmlformats.org/officeDocument/2006/docPropsVTypes"/>
</file>