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Čištění jezera v karvinském parku Boženy Němcové pomalu končí, staví se nová lávka</w:t>
      </w:r>
    </w:p>
    <w:p>
      <w:pPr/>
      <w:r>
        <w:rPr/>
        <w:t xml:space="preserve"> Úkolem sacího bagru  na začátku samotné realizace bylo naředit vodní sediment ze dna jezera.  První rok se stihlo odbahnit až 70 procent vodní plochy. Další rok na konci léta práce na odbahnění pokračovaly. Začaly také práce na výstavbě lávky a pěšiny kolem vodní plochy. </w:t>
      </w: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489/cisteni-jezera-v-karvinskem-parku-bozeny-nemcove-pomalu-konci-stavi-se-nova-la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2026-04-11T17:50:25+02:00</dcterms:created>
  <dcterms:modified xsi:type="dcterms:W3CDTF">2026-04-11T17:50:25+02:00</dcterms:modified>
</cp:coreProperties>
</file>

<file path=docProps/custom.xml><?xml version="1.0" encoding="utf-8"?>
<Properties xmlns="http://schemas.openxmlformats.org/officeDocument/2006/custom-properties" xmlns:vt="http://schemas.openxmlformats.org/officeDocument/2006/docPropsVTypes"/>
</file>