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v péči restaurátorů, obnovují její kamenné prvky</w:t>
      </w:r>
    </w:p>
    <w:p>
      <w:pPr/>
      <w:r>
        <w:rPr/>
        <w:t xml:space="preserve">První novodobé úpravy historické budovy novojičínské radnice, která je nemovitou kulturní památkou, proběhly v roce 2019. Tehdy se práce dotkly třeba schodiště ve vestibulu, kamenného obrazu a pískovcových portálů na věži.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Další záchovné práce na této budově, která pochází z 16. stolní, by pak měly začít ještě na podzim, a to opět v oblasti soklových částí, navázat by na ně měla oprava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6/novojicinska-radnice-je-v-peci-restauratoru-obnovuji-jeji-kamen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2026-07-05T16:44:54+02:00</dcterms:created>
  <dcterms:modified xsi:type="dcterms:W3CDTF">2026-07-05T16:44:54+02:00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