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hołdzie ofiarom zbrodni żywocickiej</w:t>
      </w:r>
    </w:p>
    <w:p>
      <w:pPr/>
      <w:r>
        <w:rPr/>
        <w:t xml:space="preserve">Gospodarzem uroczystości był magistrat miasta  Hawierzów przy współpracy Polskiego Związku Kulturalno-Oświatowego. W  uroczystościach wzięli udział czescy i polscy politycy, członkowie organizacji,  stowarzyszeń, osoby prywatne i nieliczni już potomkowie ofiar. Konsul Rzeczpospolitej  Polski w Ostrawie Stanisław Bogowski powiedział m. in: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„Tragedia  żywocicka to symbol męczeństwa tej ziemi podczas okupacji niemieckiej. To również  jeden z symboli tragedii narodu polskiego. Szanowni  państwo, chciałbym podziękować działaczom PZKO,  Kongresowi Polaków w Republice Czeskiej za popularyzację historii, za nauczanie  kolejnych pokoleń.” </w:t>
      </w:r>
    </w:p>
    <w:p>
      <w:pPr/>
      <w:r>
        <w:rPr/>
        <w:t xml:space="preserve">Z wiedzą na temat zbrodni żywocickiej związane  jest nazwisko historyka Mečislava Boráka.  Aktorka Jolanta Bałon czytała z jego książki wstrząsające fragmenty  wspomnień dzieci, które były świadkami tych zbrodni.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320/w-ho%C5%82dzie-ofiarom-zbrodni-zywocic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2026-05-21T07:31:45+02:00</dcterms:created>
  <dcterms:modified xsi:type="dcterms:W3CDTF">2026-05-21T07:31:45+02:00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