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příští rok zaplatí za energie zhruba o čtvrtinu méně</w:t>
      </w:r>
    </w:p>
    <w:p>
      <w:pPr/>
      <w:r>
        <w:rPr/>
        <w:t xml:space="preserve">Na komoditní burzu PXE vstoupilo město Nový Jičín poprvé v roce 2020 a tímto se snaží získat co nejvýhodnější podmínky dodávek elektrické energie a plynu.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“Oproti ceně letošního roku, elektřiny a plynu, se městu podařilo metodou postupného nákupu vysoutěžit cenu zhruba o čtvrtinu levnější na megawatthodinu u těchto jednotlivých komodit, čili u elektřiny a plynu. Cena za megawatthodinu elektřiny činí 2 544 korun, u plynu je to potom 1090 korun.” </w:t>
      </w:r>
    </w:p>
    <w:p>
      <w:pPr/>
      <w:r>
        <w:rPr/>
        <w:t xml:space="preserve">Zatímco v letošním roce jsou tyto částky 3 793 korun za megawatthodinu v případě elektřiny a v případě plynu 1 480 korun.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Je potřeba říci, že  ta cena je pouze cenou za tu obchodní složku, za to vlastní médium. Všechny daně, poplatky za obnovitelné zdroje, platby za distribuci v tomto započítány nejsou.”   </w:t>
      </w:r>
    </w:p>
    <w:p>
      <w:pPr/>
      <w:r>
        <w:rPr/>
        <w:t xml:space="preserve">Z výsledné ceny energií tedy tvoří vysoutěžená obchodní složka u elektřiny zhruba polovinu ceny, u plynu asi dvě třetiny.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“Naší snahou je dostat se na tuto burzu s co největším parametrem všech těch budova a odběrných míst. Takže do toho můžeme započítat nejen budovy úřadu na náměstí a Divadelní, ale i příspěvkové organizace, školy, školky, kino, divadlo a technické služby.”    </w:t>
      </w:r>
    </w:p>
    <w:p>
      <w:pPr/>
      <w:r>
        <w:rPr/>
        <w:t xml:space="preserve">Těchto příspěvkových organizací zřízených městem je celkem 11. Dodavatelem energií bude i nadále společnost Pražská plynárenská.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86/novy-jicin-pristi-rok-zaplati-za-energie-zhruba-o-ctvrtinu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2026-05-25T18:28:44+02:00</dcterms:created>
  <dcterms:modified xsi:type="dcterms:W3CDTF">2026-05-25T18:28:44+02:00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