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Iveta Lauterbachová</w:t>
      </w:r>
    </w:p>
    <w:p>
      <w:pPr/>
      <w:r>
        <w:rPr>
          <w:b w:val="1"/>
          <w:bCs w:val="1"/>
        </w:rPr>
        <w:t xml:space="preserve">Iveta Lauterbachová, oceněná v sociální oblasti:</w:t>
      </w:r>
      <w:r>
        <w:rPr/>
        <w:t xml:space="preserve"> "Mám ráda klienty, protože dokážou být vděční, dokáží nás překvapit maličkostmi. Když mi zemřeli rodiče během dvou měsíců, tak přišla jedna klientka a mě objala volala mi, když jsem byla na dovolené, je to takové požehnání. Někteří říkají, že to je náročná práce fyzicky i psychicky, že je to taková oběť, ale já to jako oběť neberu.”</w:t>
      </w:r>
    </w:p>
    <w:p>
      <w:pPr/>
      <w:r>
        <w:rPr/>
        <w:t xml:space="preserve">Uživatelé i kolegové na ní oceňují její veselou a přátelskou povahu a lidský přístup. Kdykoliv je potřeba, nabídne druhým svou pomoc. Svou práci dělá celým svým srdcem.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0/medailonek--ocenena-v-socialni-oblasti--iveta-lauterba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2026-04-05T04:03:04+02:00</dcterms:created>
  <dcterms:modified xsi:type="dcterms:W3CDTF">2026-04-05T04:03:04+02:00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