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letos opravili dvakrát více výtluků díky novému stroji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„Oproti  klasické metodě, má jetpatcher výhodu v rychlosti opravy a hned po opravě  díry mohou auta po té opravě jezdit, takže neblokujeme dlouho to místo. Oproti minulému roku v tom samém období máme více než dvojnásobek  opravených výtluků a věřím, že ještě do zimy stihneme opravit řadu míst. Dokud  nám dovolí počasí, budeme se snažit, aby nám stroj opravoval v co největší  míře a co nejdéle.“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  Plocha výtluků byla za loňský rok 171m</w:t>
      </w:r>
      <w:r>
        <w:rPr>
          <w:vertAlign w:val="superscript"/>
        </w:rPr>
        <w:t xml:space="preserve">2</w:t>
      </w:r>
      <w:r>
        <w:rPr/>
        <w:t xml:space="preserve"> letos 380m</w:t>
      </w:r>
      <w:r>
        <w:rPr>
          <w:vertAlign w:val="superscript"/>
        </w:rPr>
        <w:t xml:space="preserve">2</w:t>
      </w:r>
      <w:r>
        <w:rPr/>
        <w:t xml:space="preserve">, to  máme nárůst 120 % a co se týče metrů krychlových, tak loni to bylo 11 kubických  metrů a letos 27 kubických metrů, což máme nárůst 145 %.“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bychom se chtěli zaměřit ještě na vnitrobloky, na které, jsme se při  opravovaní výtluků doteď příliš nezaměřili a na příští rok plánujeme i  masivnější opravy chodníků, takže budeme s technickými službami  v koordinaci, aby se nestalo, že opravují chodníky, které máme na příští  rok v plánu opravit.“</w:t>
      </w:r>
    </w:p>
    <w:p>
      <w:pPr/>
      <w:r>
        <w:rPr/>
        <w:t xml:space="preserve">Opravy výtluků ale neprobíhají jen za pomoci jetpatcheru,  ale také prostřednictvím uzavření rámcových smluv.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337/v-ostravejihu-letos-opravili-dvakrat-vice-vytluku-diky-novemu-stroji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2026-05-08T04:49:14+02:00</dcterms:created>
  <dcterms:modified xsi:type="dcterms:W3CDTF">2026-05-08T04:49:14+02:00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