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Úprava čistírny odpadních vod za dvacet milionů umožní napojit další domy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“My jsme před dvěma lety přišli do fáze, kdy naše čistička, která měla být pro tři tisíce ekvivalentních obyvatel, rázem už byla plná. To znamená, my jsme připravili projekty a  čekali jsme na vhodný dotační titul. Problém je, že na modernizaci čističek odpadních vod ty dotační tituly nejsou.”</w:t>
      </w:r>
    </w:p>
    <w:p>
      <w:pPr/>
      <w:r>
        <w:rPr/>
        <w:t xml:space="preserve">Obec se nakonec rozhodla, že dvaceti milionovou investici provede ze svého rozpočtu, přičemž polovinu částky pokryje bankovním úvěrem. </w:t>
      </w:r>
    </w:p>
    <w:p>
      <w:pPr/>
      <w:r>
        <w:rPr/>
        <w:t xml:space="preserve">Kapacita čistírny stoupne o pět set ekvivalentních obyvatel. </w:t>
      </w:r>
    </w:p>
    <w:p>
      <w:pPr/>
      <w:r>
        <w:rPr>
          <w:b w:val="1"/>
          <w:bCs w:val="1"/>
        </w:rPr>
        <w:t xml:space="preserve">Eva Čížová, projektantka, Witkowitz Envi: </w:t>
      </w:r>
      <w:r>
        <w:rPr/>
        <w:t xml:space="preserve">“Přibude tu mechanické přečištění, bude tady nově udělaný obtok celého mechanického předčištění z důvodu nějakého havarijního stavu, případě nutnosti výměny zařízení. Bude tu drapák štěrku a přibude kalojem s dalšími šachtami a bude upravena dmýchárna a nové odvodnění kalu.”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 protože jsme chtěli, aby tady byla i nějaká novinka, protože Evropská unie nám jich dává docela vrchovatě, tak jsme ještě museli zajistit čištění fosforu.” </w:t>
      </w:r>
    </w:p>
    <w:p>
      <w:pPr/>
      <w:r>
        <w:rPr/>
        <w:t xml:space="preserve">Modernizace čističky odpadních vod má skončit za zhruba sedm měsíců. Pak se na ni budou moci napojit další obyvatelé, tedy ti, kteří zde nedávno postavili nebo staví nové domy.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5491/uprava-cistirny-odpadnich-vod-za-dvacet-milionu-umozni-napojit-dalsi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2026-05-03T07:15:34+02:00</dcterms:created>
  <dcterms:modified xsi:type="dcterms:W3CDTF">2026-05-03T07:15:34+02:00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