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ocenil umělce s hendikepem</w:t>
      </w:r>
    </w:p>
    <w:p>
      <w:pPr/>
      <w:r>
        <w:rPr/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”Já, který neumím vyjádřit své pocity tímto způsobem, tak se skláním před nejenom tou tvůrčí iniciativou, ale i tím, že ten člověk dokáže přes to svoje dílo otevřít svoji duši.” 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 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"Tvary peříček, nazdobili si je nejdříve voskovými barvami a pak rozpíjeli anilinovými barvami a nalepili jsme to na 4 plátna. Jsme neskutečně potěšeni, protože jsme to nečekali.”</w:t>
      </w:r>
    </w:p>
    <w:p>
      <w:pPr/>
      <w:r>
        <w:rPr/>
        <w:t xml:space="preserve">Umělecké dílny a další programy pro hendikepované v galerii probíhají v rámci projektu Svět podle nás. Jse o výtvarné a zvukové dílny pro děti i dospělé se smyslovým, duševním, mentálním a kombinovaným postižením a také skupiny se speciálními vzdělávacími potřebami."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"Šikovní jsou velice.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14/moravskoslezsky-kraj-ocenil-umelce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