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“Pro mladé lidi je to motivační v tom, že ta výzva je jedinečná a není v okolních městech samozřejmostí."</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se snažíme podporovat malé a střední podnikatele."</w:t>
      </w:r>
    </w:p>
    <w:p>
      <w:pPr/>
      <w:r>
        <w:rPr/>
        <w:t xml:space="preserve">V letošním roce bylo podpořeno 5 podnikatelských záměrů. Karviné-Hranicích otevřela malou herničku pro nejmenší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1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2026-05-16T00:15:11+02:00</dcterms:created>
  <dcterms:modified xsi:type="dcterms:W3CDTF">2026-05-16T00:15:11+02:00</dcterms:modified>
</cp:coreProperties>
</file>

<file path=docProps/custom.xml><?xml version="1.0" encoding="utf-8"?>
<Properties xmlns="http://schemas.openxmlformats.org/officeDocument/2006/custom-properties" xmlns:vt="http://schemas.openxmlformats.org/officeDocument/2006/docPropsVTypes"/>
</file>