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17.12.2024,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bude hospodařit s rekordním rozpočtem 43 mld. kč. Schodek bude 3 mld. korun</w:t>
      </w:r>
    </w:p>
    <w:p>
      <w:pPr/>
      <w:r>
        <w:rPr/>
        <w:t xml:space="preserve">42,722 miliard korun - to je výše rozpočtu pro příští rok v Moravskoslezském kraji. Je to o více než 3 miliardy více, než v končícím roce. Příjmy, ale všechny výdaje nepokryjí a tak téměř stejnou částku o jakou je rozpočet navýšen, tvoří schodek, který bude pokryt úsporami a úvěrem.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"Celkově jsou příjmy plánovány ve výši 39, 5 mld kč. Jedná se o navýšení na příjmové stránce přibližně 3,3 mld. kč. Nárůst vznikl vlivem dotací a navýšením příjmů ze sdílených daní o 600 milionů korun."</w:t>
      </w:r>
    </w:p>
    <w:p>
      <w:pPr/>
      <w:r>
        <w:rPr/>
        <w:t xml:space="preserve">Sestavování rozpočtu významně ovlivnily zářijové povodně, které podle odhadů způsobily na krajském majetku škody za více než dvě miliardy korun.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"Na  financování povodňových škod je vyčleněno 100 milionů korun. Další prostředky jsou  připraveny v Zajišťovacím fondu kraje, kde je asi 700 milionů korun, tyto finance budou do  rozpočtu kraje zapojeny postupně, jak bude probíhat obnova území."</w:t>
      </w:r>
    </w:p>
    <w:p>
      <w:pPr/>
      <w:r>
        <w:rPr/>
        <w:t xml:space="preserve">Na investice má kraj připraveno rekordních zhruba 6 a půl miliardy korun, což je o 1,6 miliardy více než letos.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"Podstatnou část rozpočtu MS kraje tvoří reprodukce krajského majetku z vlastích zdrojů v celkové výši zhruba 2,8 mld. kč."</w:t>
      </w:r>
    </w:p>
    <w:p>
      <w:pPr/>
      <w:r>
        <w:rPr/>
        <w:t xml:space="preserve">Kraj chce příští rok zahájit asi 120 projektů spolufinancovaných z evropských finančních zdrojů za téměř 4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457/ms-kraj-bude-hospodarit-s-rekordnim-rozpoctem-43-mld-kc-schodek-bude-3-mld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2026-06-28T02:54:33+02:00</dcterms:created>
  <dcterms:modified xsi:type="dcterms:W3CDTF">2026-06-28T02:54:33+02:00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