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23.12.2024,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Podpora klubů a organizací přesáhla v dotacích 40 milionů korun</w:t>
      </w:r>
    </w:p>
    <w:p>
      <w:pPr/>
      <w:r>
        <w:rPr/>
        <w:t xml:space="preserve">Částka, kterou město každoročně vkládá do takzvaných programových dotací v oblasti sportu, sociálních služeb, volnočasových aktivit, na podporu kulturních akcí a obnovu kulturních památek, je rok od roku vyšší. Letos do různých klubů, spolků a organizací poputuje rozhodnutím zastupitelstva z novojičínského rozpočtu více než 44 milionů korun.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Nový Jičín je vždy vstřícné k těm zapsaným spolkům, sportovním klubům, ke kultuře a volnočasu, ale i co se týče neziskových organizací v sociálních službách, protože ty jsou na našem území velmi početné, ale hlavně potřebné. Co se týče alokací peněz tak jsem velmi rád, že i zastupitelé schválili tu výši, protože například do odvětví školství, kde spadá právě ten sport a volnočas jsme alokovali o tři miliony více než v tom předcházejícím období. Co se týče odvětví sociálních služeb, tak tady byla alokace také navýšena téměř o dva miliony korun.” 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“Tak jako každý rok jsme schvalovali programové dotace pro novojičínské spolky, organizace ale i fyzické osoby. Schvalovali jsme je v oblastech volný čas a kultura, v obou jsou vždycky kategorie pro jednorázové akce a také pro celoroční činnost. Dále sport, ten je nejobsáhlejší, protože má celkem čtyři kategorie, kromě jednorázových akcí a celoroční sportování mládeže je tam také celoroční sportování dospělých a potom také tak zvaná sport D, což je dotace na provoz a údržbu jednotlivých sportovišť.  A je také třeba zmínit dotace na obnovu památek, kde bylo letos pět žadatelů. Buď je to často farnost, která žádá na obnovu svých církevních památek, a nebo také majitelé objektů, které jsou buď kulturními památkami nebo jsou v městské památkové rezervaci.”</w:t>
      </w:r>
    </w:p>
    <w:p>
      <w:pPr/>
      <w:r>
        <w:rPr/>
        <w:t xml:space="preserve">Jednou z dotací města je také třeba podpora dovozu obědů do soukromých základních a mateřských škol na území města. A další oblastí, kde také směřují konkrétní městské finance, je i životní prostředí, tady lze ex post podpořit vybudování domovních čističek odpadních vod.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541/podpora-klubu-a-organizaci-presahla-v-dotacich-4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2026-04-05T15:14:53+02:00</dcterms:created>
  <dcterms:modified xsi:type="dcterms:W3CDTF">2026-04-05T15:14:53+02:00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