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umělci obdrželi cenu hejtmana</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 </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w:t>
      </w:r>
      <w:r>
        <w:rPr/>
        <w:t xml:space="preserve">: “Mě to moc baví chodit do dílen, tam chodím rád.”</w:t>
      </w:r>
    </w:p>
    <w:p>
      <w:pPr/>
      <w:r>
        <w:rPr>
          <w:b w:val="1"/>
          <w:bCs w:val="1"/>
        </w:rPr>
        <w:t xml:space="preserve">Jiří Koluch, oceněný umělec</w:t>
      </w:r>
      <w:r>
        <w:rPr/>
        <w:t xml:space="preserve">: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703/handicapovani-umelci-obdrzeli-cenu-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2026-05-13T21:59:34+02:00</dcterms:created>
  <dcterms:modified xsi:type="dcterms:W3CDTF">2026-05-13T21:59:34+02:00</dcterms:modified>
</cp:coreProperties>
</file>

<file path=docProps/custom.xml><?xml version="1.0" encoding="utf-8"?>
<Properties xmlns="http://schemas.openxmlformats.org/officeDocument/2006/custom-properties" xmlns:vt="http://schemas.openxmlformats.org/officeDocument/2006/docPropsVTypes"/>
</file>