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Corrency v Porubě využil maximální počet lidí</w:t>
      </w:r>
    </w:p>
    <w:p>
      <w:pPr/>
      <w:r>
        <w:rPr/>
        <w:t xml:space="preserve"> 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rok.”</w:t>
      </w:r>
    </w:p>
    <w:p>
      <w:pPr/>
      <w:r>
        <w:rPr/>
        <w:t xml:space="preserve">Své correnty mohli obyvatelé Poruby utratit u devětačtyřiceti registrovaných obchodníků a spolků.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Porubě. Kromě kamenných obchodů to jde</w:t>
      </w:r>
      <w:r>
        <w:rPr>
          <w:i w:val="1"/>
          <w:iCs w:val="1"/>
        </w:rPr>
        <w:t xml:space="preserve">využít samozřejmě na kroužky pro děti.”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,,V roce 2024 jsme byli v druhém ročníku a oproti tomu předešlému byl nárůst asi o 7 %, to znamená o 100 dětí více. Takže asi 35 % rodičů platí prostřednictvím Corrency a moc si to pochvalují.”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Celkově šlo díky projektu Corrency v roce 2024 na podporu obchodníků v Porubě 6 605 140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6726/projekt-corrency-v-porube-vyuzil-maximalni-pocet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2026-04-05T18:48:05+02:00</dcterms:created>
  <dcterms:modified xsi:type="dcterms:W3CDTF">2026-04-05T18:48:05+02:00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