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pro obyvatele Nového Jičína je pro rok 2025 mírně nižší</w:t>
      </w:r>
    </w:p>
    <w:p>
      <w:pPr/>
      <w:r>
        <w:rPr/>
        <w:t xml:space="preserve">Dlouhodobým provozovatelem tepelného hospodářství města je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 Je to dáno sice snížením ceny plynu, kterou soutěží provozovatel tepelného hospodářství Veolia, nicméně některé další vstupy, ať už to jsou regulované poplatky ze strany Energetického regulačního úřadu a další komodity, ty neovlivníme. Ty stouply, stejně jako provozní náklady a mzdy, takže nakonec to snížení není vyšší.”     </w:t>
      </w:r>
    </w:p>
    <w:p>
      <w:pPr/>
      <w:r>
        <w:rPr/>
        <w:t xml:space="preserve">Město na základě smluvního vztahu společnosti Veolia pronajímá své kotelny, teplovody a domovní předávací stanice. Nájemné činí 11,5 milionů korun ročně. Tyto peníze investuje do oprav a modernizací tepelného hospodářství.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město od roku 2019 činí směřují k tomu, aby ta výsledná cena pro občana byla co nejpříznivější. Několik desítek milionů jsme investovali do revitalizace kotelen. Nyní měníme to potrubí, které to teplo rozvádí, a opět tím cílem je, aby cena tepla pro naše občany byla co nejpříznivější.”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 a snížení poruchovosti.”  </w:t>
      </w:r>
    </w:p>
    <w:p>
      <w:pPr/>
      <w:r>
        <w:rPr/>
        <w:t xml:space="preserve">Konkrétně již tedy město zrekonstruovalo 27 tepelných zdrojů a vyměnilo část teplovodu v Loučce a v ulici Nerudova. Letos je v investičních akcích zařazena výměna dalších desítek metrů rozvodného potrubí v Loučce v oblasti haly na stolní tenis.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86/cena-tepla-pro-obyvatele-noveho-jicina-je-pro-rok-2025-mirne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2026-06-28T10:16:56+02:00</dcterms:created>
  <dcterms:modified xsi:type="dcterms:W3CDTF">2026-06-28T10:16:56+02:00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